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rPr/>
      </w:pPr>
      <w:r w:rsidDel="00000000" w:rsidR="00000000" w:rsidRPr="00000000">
        <w:rPr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/>
      </w:pPr>
      <w:r w:rsidDel="00000000" w:rsidR="00000000" w:rsidRPr="00000000">
        <w:rPr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</w:p>
    <w:p w:rsidR="00000000" w:rsidDel="00000000" w:rsidP="00000000" w:rsidRDefault="00000000" w:rsidRPr="00000000" w14:paraId="0000000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tl w:val="0"/>
        </w:rPr>
        <w:t xml:space="preserve">section 217.1 of the </w:t>
      </w:r>
      <w:r w:rsidDel="00000000" w:rsidR="00000000" w:rsidRPr="00000000">
        <w:rPr>
          <w:i w:val="1"/>
          <w:rtl w:val="0"/>
        </w:rPr>
        <w:t xml:space="preserve">Criminal Code of Canada</w:t>
      </w:r>
      <w:r w:rsidDel="00000000" w:rsidR="00000000" w:rsidRPr="00000000">
        <w:rPr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“Person directing work” means anyone</w:t>
      </w:r>
      <w:r w:rsidDel="00000000" w:rsidR="00000000" w:rsidRPr="00000000">
        <w:rPr>
          <w:highlight w:val="white"/>
          <w:rtl w:val="0"/>
        </w:rPr>
        <w:t xml:space="preserve"> who undertakes, or has the authority, to direct how another person does work or performs a task </w:t>
      </w:r>
      <w:r w:rsidDel="00000000" w:rsidR="00000000" w:rsidRPr="00000000">
        <w:rPr>
          <w:rtl w:val="0"/>
        </w:rPr>
        <w:t xml:space="preserve">according to section 217.1 of the </w:t>
      </w:r>
      <w:r w:rsidDel="00000000" w:rsidR="00000000" w:rsidRPr="00000000">
        <w:rPr>
          <w:i w:val="1"/>
          <w:rtl w:val="0"/>
        </w:rPr>
        <w:t xml:space="preserve">Criminal Code of Canada</w:t>
      </w:r>
      <w:r w:rsidDel="00000000" w:rsidR="00000000" w:rsidRPr="00000000">
        <w:rPr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[Organization Name] understands that the </w:t>
      </w:r>
      <w:r w:rsidDel="00000000" w:rsidR="00000000" w:rsidRPr="00000000">
        <w:rPr>
          <w:i w:val="1"/>
          <w:rtl w:val="0"/>
        </w:rPr>
        <w:t xml:space="preserve">Criminal Code of Canada</w:t>
      </w:r>
      <w:r w:rsidDel="00000000" w:rsidR="00000000" w:rsidRPr="00000000">
        <w:rPr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highlight w:val="white"/>
          <w:rtl w:val="0"/>
        </w:rPr>
        <w:t xml:space="preserve">reasonable steps to prevent bodily harm to the person whose work they are directing, or any other person, arising from that work or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/>
      </w:pPr>
      <w:r w:rsidDel="00000000" w:rsidR="00000000" w:rsidRPr="00000000">
        <w:rPr>
          <w:highlight w:val="white"/>
          <w:rtl w:val="0"/>
        </w:rPr>
        <w:t xml:space="preserve">Further, [Organization Name] </w:t>
      </w:r>
      <w:r w:rsidDel="00000000" w:rsidR="00000000" w:rsidRPr="00000000">
        <w:rPr>
          <w:rtl w:val="0"/>
        </w:rPr>
        <w:t xml:space="preserve">will uphold all rights all employees have under the </w:t>
      </w:r>
      <w:r w:rsidDel="00000000" w:rsidR="00000000" w:rsidRPr="00000000">
        <w:rPr>
          <w:i w:val="1"/>
          <w:rtl w:val="0"/>
        </w:rPr>
        <w:t xml:space="preserve">Canada Labour Code (CLC) Part II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9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widowControl w:val="1"/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E">
      <w:pPr>
        <w:widowControl w:val="1"/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hd w:fill="ffffff" w:val="clear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CLC </w:t>
      </w:r>
      <w:r w:rsidDel="00000000" w:rsidR="00000000" w:rsidRPr="00000000">
        <w:rPr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0">
      <w:pPr>
        <w:widowControl w:val="1"/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5">
      <w:pPr>
        <w:widowControl w:val="1"/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hd w:fill="ffffff" w:val="clear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hd w:fill="ffffff" w:val="clear"/>
        <w:rPr/>
      </w:pPr>
      <w:r w:rsidDel="00000000" w:rsidR="00000000" w:rsidRPr="00000000">
        <w:rPr>
          <w:rtl w:val="0"/>
        </w:rPr>
        <w:t xml:space="preserve">Employees must comply with their duties under the CLC to: </w:t>
      </w:r>
    </w:p>
    <w:p w:rsidR="00000000" w:rsidDel="00000000" w:rsidP="00000000" w:rsidRDefault="00000000" w:rsidRPr="00000000" w14:paraId="00000029">
      <w:pPr>
        <w:widowControl w:val="1"/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Report any hazard or contravention of the Act or regulations to the employer or supervisor </w:t>
      </w:r>
    </w:p>
    <w:p w:rsidR="00000000" w:rsidDel="00000000" w:rsidP="00000000" w:rsidRDefault="00000000" w:rsidRPr="00000000" w14:paraId="0000002E">
      <w:pPr>
        <w:widowControl w:val="1"/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1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qu3qoNjpHgHnhIkulcUjspypQ==">CgMxLjA4AHIhMTNTREpYUER1YmttZHhLNVNrbHV2OUJ6d0tGYnlqYU1W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